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Pr="008D5759" w:rsidR="00AD053C" w:rsidP="00AD053C" w:rsidRDefault="00A836CE" w14:paraId="5813AF27" w14:textId="1D6251DA">
      <w:pPr>
        <w:pStyle w:val="Heading1"/>
        <w:rPr>
          <w:rFonts w:cs="Arial"/>
          <w:sz w:val="22"/>
          <w:szCs w:val="24"/>
        </w:rPr>
      </w:pPr>
      <w:r w:rsidRPr="008D5759">
        <w:rPr>
          <w:rFonts w:cs="Arial"/>
          <w:sz w:val="22"/>
          <w:szCs w:val="24"/>
        </w:rPr>
        <w:t>Program</w:t>
      </w:r>
      <w:r w:rsidRPr="008D5759" w:rsidR="006A3731">
        <w:rPr>
          <w:rFonts w:cs="Arial"/>
          <w:sz w:val="22"/>
          <w:szCs w:val="24"/>
        </w:rPr>
        <w:t xml:space="preserve">:   </w:t>
      </w:r>
      <w:r w:rsidR="00412220">
        <w:rPr>
          <w:rFonts w:cs="Arial"/>
          <w:sz w:val="22"/>
          <w:szCs w:val="24"/>
          <w:u w:val="single"/>
        </w:rPr>
        <w:t>County Intimate Partner Violence</w:t>
      </w:r>
      <w:r w:rsidR="00434DB4">
        <w:rPr>
          <w:rFonts w:cs="Arial"/>
          <w:sz w:val="22"/>
          <w:szCs w:val="24"/>
          <w:u w:val="single"/>
        </w:rPr>
        <w:t xml:space="preserve"> </w:t>
      </w:r>
      <w:r w:rsidR="00412220">
        <w:rPr>
          <w:rFonts w:cs="Arial"/>
          <w:sz w:val="22"/>
          <w:szCs w:val="24"/>
          <w:u w:val="single"/>
        </w:rPr>
        <w:t>(</w:t>
      </w:r>
      <w:r w:rsidRPr="00412220" w:rsidR="00412220">
        <w:rPr>
          <w:rFonts w:cs="Arial"/>
          <w:sz w:val="22"/>
          <w:szCs w:val="24"/>
          <w:u w:val="single"/>
        </w:rPr>
        <w:t>IPV</w:t>
      </w:r>
      <w:r w:rsidR="00412220">
        <w:rPr>
          <w:rFonts w:cs="Arial"/>
          <w:sz w:val="22"/>
          <w:szCs w:val="24"/>
          <w:u w:val="single"/>
        </w:rPr>
        <w:t>)</w:t>
      </w:r>
      <w:r w:rsidRPr="00412220" w:rsidR="00412220">
        <w:rPr>
          <w:rFonts w:cs="Arial"/>
          <w:sz w:val="22"/>
          <w:szCs w:val="24"/>
          <w:u w:val="single"/>
        </w:rPr>
        <w:t xml:space="preserve"> Pilot Project</w:t>
      </w:r>
    </w:p>
    <w:p w:rsidRPr="008D5759" w:rsidR="00743B8E" w:rsidP="00743B8E" w:rsidRDefault="00A836CE" w14:paraId="06335858" w14:textId="0807BC41">
      <w:pPr>
        <w:rPr>
          <w:rFonts w:ascii="Arial" w:hAnsi="Arial" w:cs="Arial"/>
          <w:sz w:val="22"/>
          <w:szCs w:val="24"/>
        </w:rPr>
      </w:pPr>
      <w:r w:rsidRPr="008D5759">
        <w:rPr>
          <w:rFonts w:ascii="Arial" w:hAnsi="Arial" w:cs="Arial"/>
          <w:sz w:val="22"/>
          <w:szCs w:val="24"/>
        </w:rPr>
        <w:t>Situation:</w:t>
      </w:r>
      <w:r w:rsidRPr="008D5759" w:rsidR="00743B8E">
        <w:rPr>
          <w:rFonts w:ascii="Arial" w:hAnsi="Arial" w:cs="Arial"/>
          <w:sz w:val="22"/>
          <w:szCs w:val="24"/>
        </w:rPr>
        <w:t xml:space="preserve"> </w:t>
      </w:r>
      <w:r w:rsidRPr="00412220" w:rsidR="00412220">
        <w:rPr>
          <w:rFonts w:ascii="Arial" w:hAnsi="Arial" w:cs="Arial"/>
          <w:sz w:val="22"/>
          <w:szCs w:val="24"/>
        </w:rPr>
        <w:t>Reduce recidivism among persons convicted of IPV charges</w:t>
      </w:r>
      <w:r w:rsidR="00E7128B">
        <w:rPr>
          <w:rFonts w:ascii="Arial" w:hAnsi="Arial" w:cs="Arial"/>
          <w:sz w:val="22"/>
          <w:szCs w:val="24"/>
        </w:rPr>
        <w:t xml:space="preserve">.  By using risk-based decision making to determine the dosage of DV treatment, </w:t>
      </w:r>
      <w:r w:rsidR="005305E9">
        <w:rPr>
          <w:rFonts w:ascii="Arial" w:hAnsi="Arial" w:cs="Arial"/>
          <w:sz w:val="22"/>
          <w:szCs w:val="24"/>
        </w:rPr>
        <w:t>county</w:t>
      </w:r>
      <w:r w:rsidR="00E7128B">
        <w:rPr>
          <w:rFonts w:ascii="Arial" w:hAnsi="Arial" w:cs="Arial"/>
          <w:sz w:val="22"/>
          <w:szCs w:val="24"/>
        </w:rPr>
        <w:t xml:space="preserve"> is developing more </w:t>
      </w:r>
      <w:r w:rsidR="006D08BD">
        <w:rPr>
          <w:rFonts w:ascii="Arial" w:hAnsi="Arial" w:cs="Arial"/>
          <w:sz w:val="22"/>
          <w:szCs w:val="24"/>
        </w:rPr>
        <w:t>cost-effective</w:t>
      </w:r>
      <w:r w:rsidR="00E7128B">
        <w:rPr>
          <w:rFonts w:ascii="Arial" w:hAnsi="Arial" w:cs="Arial"/>
          <w:sz w:val="22"/>
          <w:szCs w:val="24"/>
        </w:rPr>
        <w:t xml:space="preserve"> solutions that should</w:t>
      </w:r>
      <w:r w:rsidR="00FA4583">
        <w:rPr>
          <w:rFonts w:ascii="Arial" w:hAnsi="Arial" w:cs="Arial"/>
          <w:sz w:val="22"/>
          <w:szCs w:val="24"/>
        </w:rPr>
        <w:t xml:space="preserve"> increase client success, reduce IPV and show difference in </w:t>
      </w:r>
      <w:proofErr w:type="gramStart"/>
      <w:r w:rsidR="00FA2E80">
        <w:rPr>
          <w:rFonts w:ascii="Arial" w:hAnsi="Arial" w:cs="Arial"/>
          <w:sz w:val="22"/>
          <w:szCs w:val="24"/>
        </w:rPr>
        <w:t>low risk</w:t>
      </w:r>
      <w:proofErr w:type="gramEnd"/>
      <w:r w:rsidR="00FA2E80">
        <w:rPr>
          <w:rFonts w:ascii="Arial" w:hAnsi="Arial" w:cs="Arial"/>
          <w:sz w:val="22"/>
          <w:szCs w:val="24"/>
        </w:rPr>
        <w:t xml:space="preserve"> client outcomes compared to previous dosage, as well as to higher risk IPV clients.</w:t>
      </w:r>
      <w:r w:rsidR="00056884">
        <w:rPr>
          <w:rFonts w:ascii="Arial" w:hAnsi="Arial" w:cs="Arial"/>
          <w:sz w:val="22"/>
          <w:szCs w:val="24"/>
        </w:rPr>
        <w:t xml:space="preserve">  This approach is designed to be risk-need responsive in that those deemed low risk receive lower dosage BIP as well as lower dosage supervision.</w:t>
      </w:r>
    </w:p>
    <w:p w:rsidRPr="008D5759" w:rsidR="00AD053C" w:rsidP="00EF39E2" w:rsidRDefault="00CE519B" w14:paraId="7AD0CE07" w14:textId="66FD484F" w14:noSpellErr="1">
      <w:pPr>
        <w:pStyle w:val="FootnoteText"/>
        <w:rPr>
          <w:rFonts w:ascii="Arial" w:hAnsi="Arial" w:cs="Arial"/>
        </w:rPr>
      </w:pPr>
      <w:r w:rsidRPr="008D5759">
        <w:rPr>
          <w:rFonts w:ascii="Arial" w:hAnsi="Arial" w:cs="Arial"/>
          <w:noProof/>
        </w:rPr>
        <mc:AlternateContent xmlns:mc="http://schemas.openxmlformats.org/markup-compatibility/2006">
          <mc:Choice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57728" behindDoc="0" locked="0" layoutInCell="1" allowOverlap="1" wp14:anchorId="0ADE83AB" wp14:editId="2ED2C5DC">
                <wp:simplePos x="0" y="0"/>
                <wp:positionH relativeFrom="column">
                  <wp:posOffset>2946400</wp:posOffset>
                </wp:positionH>
                <wp:positionV relativeFrom="paragraph">
                  <wp:posOffset>134620</wp:posOffset>
                </wp:positionV>
                <wp:extent cx="226291" cy="365760"/>
                <wp:effectExtent l="0" t="38100" r="40640" b="53340"/>
                <wp:wrapNone/>
                <wp:docPr id="3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291" cy="36576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xmlns:w="http://schemas.openxmlformats.org/wordprocessingml/2006/main">
              <v:shapetype xmlns:w14="http://schemas.microsoft.com/office/word/2010/wordml" xmlns:o="urn:schemas-microsoft-com:office:office" xmlns:v="urn:schemas-microsoft-com:vml" id="_x0000_t13" coordsize="21600,21600" o:spt="13" adj="16200,5400" path="m@0,l@0@1,0@1,0@2@0@2@0,21600,21600,10800xe" w14:anchorId="356935F9">
                <v:stroke xmlns:v="urn:schemas-microsoft-com:vml" joinstyle="miter"/>
                <v:formulas xmlns:v="urn:schemas-microsoft-com:vml">
                  <v:f xmlns:v="urn:schemas-microsoft-com:vml" eqn="val #0"/>
                  <v:f xmlns:v="urn:schemas-microsoft-com:vml" eqn="val #1"/>
                  <v:f xmlns:v="urn:schemas-microsoft-com:vml" eqn="sum height 0 #1"/>
                  <v:f xmlns:v="urn:schemas-microsoft-com:vml" eqn="sum 10800 0 #1"/>
                  <v:f xmlns:v="urn:schemas-microsoft-com:vml" eqn="sum width 0 #0"/>
                  <v:f xmlns:v="urn:schemas-microsoft-com:vml" eqn="prod @4 @3 10800"/>
                  <v:f xmlns:v="urn:schemas-microsoft-com:vml" eqn="sum width 0 @5"/>
                </v:formulas>
                <v:path xmlns:o="urn:schemas-microsoft-com:office:office" xmlns:v="urn:schemas-microsoft-com:vml" textboxrect="0,@1,@6,@2" o:connecttype="custom" o:connectlocs="@0,0;0,10800;@0,21600;21600,10800" o:connectangles="270,180,90,0"/>
                <v:handles xmlns:v="urn:schemas-microsoft-com:vml">
                  <v:h xmlns:v="urn:schemas-microsoft-com:vml" position="#0,#1" xrange="0,21600" yrange="0,10800"/>
                </v:handles>
              </v:shapetype>
              <v:shape xmlns:o="urn:schemas-microsoft-com:office:office" xmlns:v="urn:schemas-microsoft-com:vml" id="AutoShape 80" style="position:absolute;margin-left:232pt;margin-top:10.6pt;width:14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ZMQAIAAJMEAAAOAAAAZHJzL2Uyb0RvYy54bWysVNuO0zAQfUfiHyy/07Td3jZqulp1KUJa&#10;YKWFD5jaTmPwDdttunz9jt20pPCGyIPl8YyPz8yZyfLuqBU5CB+kNRUdDYaUCMMsl2ZX0W9fN+8W&#10;lIQIhoOyRlT0RQR6t3r7Ztm6UoxtYxUXniCICWXrKtrE6MqiCKwRGsLAOmHQWVuvIaLpdwX30CK6&#10;VsV4OJwVrfXcectECHj6cHLSVcava8Hil7oOIhJVUeQW8+rzuk1rsVpCufPgGsk6GvAPLDRIg49e&#10;oB4gAtl7+ReUlszbYOs4YFYXtq4lEzkHzGY0/COb5wacyLlgcYK7lCn8P1j2+fDkieQVvaHEgEaJ&#10;7vfR5pfJItendaHEsGf35FOGwT1a9iMQY9cNmJ249962jQCOrEapnsXVhWQEvEq27SfLER4QPpfq&#10;WHudALEI5JgVebkoIo6RMDwczeeLIerG0HUzm85nmVEB5fmy8yF+EFaTtKmol7smZkb5CTg8hphl&#10;4V1ywL+PKKm1QpUPoMh0iF/XBb2YcT9mnIJyZlB2iMjg/HKuiVWSb6RS2fC77Vp5gvAV3eSvuxz6&#10;YcqQtqK30/E0U73yhT5EYnh5/ypMy4jDo6SuKFapC4IyifHe8NzaEaQ67ZGyMp06SZA0IqHcWv6C&#10;4nh7mgycZNw01v+ipMWpqGj4uQcvKFEfDQp8O5pM0hhlYzKdj9Hwfc+27wHDEKqikZLTdh1Po7d3&#10;WajUMKlixqaeq2U8d8+JVUcWOx93V6PVt3PU73/J6hUAAP//AwBQSwMEFAAGAAgAAAAhAPQ/Ftfe&#10;AAAACQEAAA8AAABkcnMvZG93bnJldi54bWxMj0tPhEAQhO8m/odJm3hzmyUEEWk2RmPizX148Dgw&#10;LRDngczsgv56x9N6rK5K9VfVZjFanHjyg7ME61UCgm3r1GA7grfD800BwgdpldTOMsE3e9jUlxeV&#10;LJWb7Y5P+9CJWGJ9KQn6EMYS0bc9G+lXbmQbvQ83GRminDpUk5xjudGYJkmORg42fujlyI89t5/7&#10;oyFo9FP+vh2/XlDhvOWfBA/L7pXo+mp5uAcReAnnMPzhR3SoI1PjjlZ5oQmyPItbAkG6TkHEQHaX&#10;xkNDcFsUgHWF/xfUvwAAAP//AwBQSwECLQAUAAYACAAAACEAtoM4kv4AAADhAQAAEwAAAAAAAAAA&#10;AAAAAAAAAAAAW0NvbnRlbnRfVHlwZXNdLnhtbFBLAQItABQABgAIAAAAIQA4/SH/1gAAAJQBAAAL&#10;AAAAAAAAAAAAAAAAAC8BAABfcmVscy8ucmVsc1BLAQItABQABgAIAAAAIQCOQuZMQAIAAJMEAAAO&#10;AAAAAAAAAAAAAAAAAC4CAABkcnMvZTJvRG9jLnhtbFBLAQItABQABgAIAAAAIQD0PxbX3gAAAAkB&#10;AAAPAAAAAAAAAAAAAAAAAJoEAABkcnMvZG93bnJldi54bWxQSwUGAAAAAAQABADzAAAApQUAAAAA&#10;"/>
            </w:pict>
          </mc:Fallback>
        </mc:AlternateContent>
      </w:r>
      <w:r w:rsidRPr="008D5759">
        <w:rPr>
          <w:rFonts w:ascii="Arial" w:hAnsi="Arial" w:cs="Arial"/>
          <w:noProof/>
        </w:rPr>
        <mc:AlternateContent xmlns:mc="http://schemas.openxmlformats.org/markup-compatibility/2006">
          <mc:Choice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58752" behindDoc="0" locked="0" layoutInCell="1" allowOverlap="1" wp14:anchorId="156DDAA4" wp14:editId="21BE9A4E">
                <wp:simplePos x="0" y="0"/>
                <wp:positionH relativeFrom="column">
                  <wp:posOffset>6748780</wp:posOffset>
                </wp:positionH>
                <wp:positionV relativeFrom="paragraph">
                  <wp:posOffset>134620</wp:posOffset>
                </wp:positionV>
                <wp:extent cx="334601" cy="365760"/>
                <wp:effectExtent l="0" t="38100" r="46990" b="53340"/>
                <wp:wrapNone/>
                <wp:docPr id="2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601" cy="36576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xmlns:w="http://schemas.openxmlformats.org/wordprocessingml/2006/main">
              <v:shape xmlns:w14="http://schemas.microsoft.com/office/word/2010/wordml" xmlns:o="urn:schemas-microsoft-com:office:office" xmlns:v="urn:schemas-microsoft-com:vml" id="AutoShape 81" style="position:absolute;margin-left:531.4pt;margin-top:10.6pt;width:20.65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jYyQgIAAJMEAAAOAAAAZHJzL2Uyb0RvYy54bWysVNuO0zAQfUfiHyy/07Sh6XajpqtVlyKk&#10;BVZa+ADXdhKDb9hu0/L1O3bSbgpviDxYM57xmcuZyeruqCQ6cOeF0RWeTaYYcU0NE7qp8Pdv23dL&#10;jHwgmhFpNK/wiXt8t377ZtXZkuemNZJxhwBE+7KzFW5DsGWWedpyRfzEWK7BWBunSADVNRlzpAN0&#10;JbN8Ol1knXHMOkO593D70BvxOuHXNafha117HpCsMOQW0unSuYtntl6RsnHEtoIOaZB/yEIRoSHo&#10;BeqBBIL2TvwFpQR1xps6TKhRmalrQXmqAaqZTf+o5rkllqdaoDneXtrk/x8s/XJ4ckiwCucYaaKA&#10;ovt9MCkyWs5ifzrrS3B7tk8uVujto6E/PdJm0xLd8HvnTNdywiCr5J9dPYiKh6do1302DOAJwKdW&#10;HWunIiA0AR0TI6cLI/wYEIXLfJHnRYERBdP7RXGzSIxlpDw/ts6Hj9woFIUKO9G0IWWUQpDDow+J&#10;FjYUR9iPGUa1ksDygUhUTOEbpmDkA8149cmjU/SBuAMiSOfIqSdGCrYVUibFNbuNdAjgK7xN3/DY&#10;j92kRl2Fb4u8SKle2fwYImZ4iX/lpkSA5ZFCVXh5cSJlJOODZmm0AxGylyFlqaGGMyE9sTvDTkCO&#10;M/1mwCaD0Br3G6MOtqLC/teeOI6R/KSB4NvZfB7XKCnz4iYHxY0tu7GFaApQFQ4Y9eIm9Ku3t4mo&#10;ODCxY9rEmatFiD2O+fVZDQpMfmr9sKVxtcZ68nr9l6xfAAAA//8DAFBLAwQUAAYACAAAACEAHNUT&#10;vt4AAAALAQAADwAAAGRycy9kb3ducmV2LnhtbEyPT0+EMBTE7yZ+h+aZeHNfIQYJUjZGY+LN/ePB&#10;Y6FvgSx9Rdpd0E9v96THyUxmflOuFzuIM02+d6wgWUkQxI0zPbcKPvavdzkIHzQbPTgmBd/kYV1d&#10;X5W6MG7mLZ13oRWxhH2hFXQhjAWibzqy2q/cSBy9g5usDlFOLZpJz7HcDphKmaHVPceFTo/03FFz&#10;3J2sgnp4yT4349cbGpw39CNxv2zflbq9WZ4eQQRawl8YLvgRHarIVLsTGy+GqGWWRvagIE1SEJdE&#10;Iu8TELWChzwHrEr8/6H6BQAA//8DAFBLAQItABQABgAIAAAAIQC2gziS/gAAAOEBAAATAAAAAAAA&#10;AAAAAAAAAAAAAABbQ29udGVudF9UeXBlc10ueG1sUEsBAi0AFAAGAAgAAAAhADj9If/WAAAAlAEA&#10;AAsAAAAAAAAAAAAAAAAALwEAAF9yZWxzLy5yZWxzUEsBAi0AFAAGAAgAAAAhACkKNjJCAgAAkwQA&#10;AA4AAAAAAAAAAAAAAAAALgIAAGRycy9lMm9Eb2MueG1sUEsBAi0AFAAGAAgAAAAhABzVE77eAAAA&#10;CwEAAA8AAAAAAAAAAAAAAAAAnAQAAGRycy9kb3ducmV2LnhtbFBLBQYAAAAABAAEAPMAAACnBQAA&#10;AAA=&#10;" w14:anchorId="39894CEF"/>
            </w:pict>
          </mc:Fallback>
        </mc:AlternateContent>
      </w:r>
      <w:r w:rsidRPr="4DE6F063" w:rsidR="4DE6F063">
        <w:rPr>
          <w:rFonts w:ascii="Arial" w:hAnsi="Arial" w:cs="Arial"/>
        </w:rPr>
        <w:t/>
      </w:r>
    </w:p>
    <w:tbl>
      <w:tblPr>
        <w:tblW w:w="145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358"/>
        <w:gridCol w:w="342"/>
        <w:gridCol w:w="2790"/>
        <w:gridCol w:w="2880"/>
        <w:gridCol w:w="450"/>
        <w:gridCol w:w="3420"/>
      </w:tblGrid>
      <w:tr w:rsidRPr="008D5759" w:rsidR="008D5759" w:rsidTr="00281944" w14:paraId="6F51E955" w14:textId="77777777">
        <w:trPr>
          <w:cantSplit/>
        </w:trPr>
        <w:tc>
          <w:tcPr>
            <w:tcW w:w="2358" w:type="dxa"/>
            <w:vMerge w:val="restart"/>
            <w:tcBorders>
              <w:left w:val="single" w:color="auto" w:sz="4" w:space="0"/>
            </w:tcBorders>
            <w:shd w:val="clear" w:color="auto" w:fill="FFE599" w:themeFill="accent4" w:themeFillTint="66"/>
            <w:vAlign w:val="center"/>
          </w:tcPr>
          <w:p w:rsidRPr="008D5759" w:rsidR="008D5759" w:rsidP="008D5759" w:rsidRDefault="008D5759" w14:paraId="377CED3C" w14:textId="77777777">
            <w:pPr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 w:rsidRPr="008D5759">
              <w:rPr>
                <w:rFonts w:ascii="Arial" w:hAnsi="Arial" w:cs="Arial"/>
                <w:b/>
                <w:noProof/>
                <w:sz w:val="20"/>
              </w:rPr>
              <w:t>Target Population</w:t>
            </w:r>
          </w:p>
        </w:tc>
        <w:tc>
          <w:tcPr>
            <w:tcW w:w="2358" w:type="dxa"/>
            <w:vMerge w:val="restart"/>
            <w:tcBorders>
              <w:left w:val="single" w:color="auto" w:sz="4" w:space="0"/>
            </w:tcBorders>
            <w:shd w:val="clear" w:color="auto" w:fill="FFE599" w:themeFill="accent4" w:themeFillTint="66"/>
            <w:vAlign w:val="center"/>
          </w:tcPr>
          <w:p w:rsidRPr="008D5759" w:rsidR="008D5759" w:rsidP="008D5759" w:rsidRDefault="008D5759" w14:paraId="4EA5F907" w14:textId="77777777">
            <w:pPr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 w:rsidRPr="008D5759">
              <w:rPr>
                <w:rFonts w:ascii="Arial" w:hAnsi="Arial" w:cs="Arial"/>
                <w:b/>
                <w:noProof/>
                <w:sz w:val="20"/>
              </w:rPr>
              <w:t>Inputs/Resources</w:t>
            </w:r>
          </w:p>
        </w:tc>
        <w:tc>
          <w:tcPr>
            <w:tcW w:w="342" w:type="dxa"/>
            <w:tcBorders>
              <w:top w:val="nil"/>
              <w:bottom w:val="nil"/>
              <w:right w:val="single" w:color="auto" w:sz="4" w:space="0"/>
            </w:tcBorders>
          </w:tcPr>
          <w:p w:rsidRPr="008D5759" w:rsidR="008D5759" w:rsidP="008D5759" w:rsidRDefault="008D5759" w14:paraId="504F6067" w14:textId="77777777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7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8EAADB" w:themeFill="accent1" w:themeFillTint="99"/>
            <w:vAlign w:val="center"/>
          </w:tcPr>
          <w:p w:rsidRPr="008D5759" w:rsidR="008D5759" w:rsidP="008D5759" w:rsidRDefault="008D5759" w14:paraId="1032279D" w14:textId="7777777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D5759">
              <w:rPr>
                <w:rFonts w:ascii="Arial" w:hAnsi="Arial" w:cs="Arial"/>
                <w:b/>
                <w:sz w:val="20"/>
              </w:rPr>
              <w:t>Activities</w:t>
            </w:r>
          </w:p>
        </w:tc>
        <w:tc>
          <w:tcPr>
            <w:tcW w:w="28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8EAADB" w:themeFill="accent1" w:themeFillTint="99"/>
            <w:vAlign w:val="center"/>
          </w:tcPr>
          <w:p w:rsidRPr="008D5759" w:rsidR="008D5759" w:rsidP="008D5759" w:rsidRDefault="008D5759" w14:paraId="6F265D7E" w14:textId="7777777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D5759">
              <w:rPr>
                <w:rFonts w:ascii="Arial" w:hAnsi="Arial" w:cs="Arial"/>
                <w:b/>
                <w:sz w:val="20"/>
              </w:rPr>
              <w:t>Outputs</w:t>
            </w:r>
          </w:p>
        </w:tc>
        <w:tc>
          <w:tcPr>
            <w:tcW w:w="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8D5759" w:rsidR="008D5759" w:rsidP="008D5759" w:rsidRDefault="008D5759" w14:paraId="2DDD921A" w14:textId="77777777">
            <w:pPr>
              <w:pStyle w:val="Heading3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8D5759" w:rsidR="008D5759" w:rsidP="008D5759" w:rsidRDefault="008D5759" w14:paraId="283AB581" w14:textId="7777777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D5759">
              <w:rPr>
                <w:rFonts w:ascii="Arial" w:hAnsi="Arial" w:cs="Arial"/>
                <w:b/>
                <w:sz w:val="20"/>
              </w:rPr>
              <w:t>Outcomes</w:t>
            </w:r>
          </w:p>
        </w:tc>
      </w:tr>
      <w:tr w:rsidRPr="008D5759" w:rsidR="008D5759" w:rsidTr="00281944" w14:paraId="1BEF282C" w14:textId="77777777">
        <w:trPr>
          <w:cantSplit/>
        </w:trPr>
        <w:tc>
          <w:tcPr>
            <w:tcW w:w="2358" w:type="dxa"/>
            <w:vMerge/>
            <w:tcBorders>
              <w:left w:val="single" w:color="auto" w:sz="4" w:space="0"/>
            </w:tcBorders>
            <w:shd w:val="clear" w:color="auto" w:fill="FFE599" w:themeFill="accent4" w:themeFillTint="66"/>
          </w:tcPr>
          <w:p w:rsidRPr="008D5759" w:rsidR="008D5759" w:rsidP="008D5759" w:rsidRDefault="008D5759" w14:paraId="3471490E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58" w:type="dxa"/>
            <w:vMerge/>
            <w:tcBorders>
              <w:left w:val="single" w:color="auto" w:sz="4" w:space="0"/>
            </w:tcBorders>
            <w:shd w:val="clear" w:color="auto" w:fill="FFE599" w:themeFill="accent4" w:themeFillTint="66"/>
          </w:tcPr>
          <w:p w:rsidRPr="008D5759" w:rsidR="008D5759" w:rsidP="008D5759" w:rsidRDefault="008D5759" w14:paraId="790C7C91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2" w:type="dxa"/>
            <w:tcBorders>
              <w:top w:val="nil"/>
              <w:bottom w:val="nil"/>
              <w:right w:val="single" w:color="auto" w:sz="4" w:space="0"/>
            </w:tcBorders>
          </w:tcPr>
          <w:p w:rsidRPr="008D5759" w:rsidR="008D5759" w:rsidP="008D5759" w:rsidRDefault="008D5759" w14:paraId="6F13C8C0" w14:textId="7777777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1" w:themeFillTint="99"/>
            <w:vAlign w:val="center"/>
          </w:tcPr>
          <w:p w:rsidRPr="008D5759" w:rsidR="008D5759" w:rsidP="008D5759" w:rsidRDefault="008D5759" w14:paraId="6509542D" w14:textId="77777777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80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1" w:themeFillTint="99"/>
            <w:vAlign w:val="center"/>
          </w:tcPr>
          <w:p w:rsidRPr="008D5759" w:rsidR="008D5759" w:rsidP="008D5759" w:rsidRDefault="008D5759" w14:paraId="31EF27E0" w14:textId="77777777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8D5759" w:rsidR="008D5759" w:rsidP="008D5759" w:rsidRDefault="008D5759" w14:paraId="3ED99AEF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8D5759" w:rsidR="008D5759" w:rsidP="008D5759" w:rsidRDefault="008D5759" w14:paraId="3D19A581" w14:textId="77777777">
            <w:pPr>
              <w:pStyle w:val="Heading5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Pr="008D5759" w:rsidR="008D5759" w:rsidTr="005305E9" w14:paraId="0D9546C8" w14:textId="77777777">
        <w:trPr>
          <w:cantSplit/>
          <w:trHeight w:val="8639"/>
        </w:trPr>
        <w:tc>
          <w:tcPr>
            <w:tcW w:w="2358" w:type="dxa"/>
            <w:tcBorders>
              <w:left w:val="single" w:color="auto" w:sz="4" w:space="0"/>
              <w:bottom w:val="single" w:color="auto" w:sz="4" w:space="0"/>
            </w:tcBorders>
          </w:tcPr>
          <w:p w:rsidRPr="005305E9" w:rsidR="008D5759" w:rsidP="008D5759" w:rsidRDefault="008D5759" w14:paraId="40E4DF73" w14:textId="77777777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5305E9" w:rsidR="00412220" w:rsidP="00331149" w:rsidRDefault="00412220" w14:paraId="62556546" w14:textId="0FF4DBD4">
            <w:pPr>
              <w:pStyle w:val="FootnoteTex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05E9">
              <w:rPr>
                <w:rFonts w:asciiTheme="minorHAnsi" w:hAnsiTheme="minorHAnsi" w:cstheme="minorHAnsi"/>
                <w:sz w:val="22"/>
                <w:szCs w:val="22"/>
              </w:rPr>
              <w:t xml:space="preserve">Those convicted of 1203.098 </w:t>
            </w:r>
            <w:proofErr w:type="gramStart"/>
            <w:r w:rsidRPr="005305E9">
              <w:rPr>
                <w:rFonts w:asciiTheme="minorHAnsi" w:hAnsiTheme="minorHAnsi" w:cstheme="minorHAnsi"/>
                <w:sz w:val="22"/>
                <w:szCs w:val="22"/>
              </w:rPr>
              <w:t>charges</w:t>
            </w:r>
            <w:proofErr w:type="gramEnd"/>
          </w:p>
          <w:p w:rsidRPr="005305E9" w:rsidR="00412220" w:rsidP="00331149" w:rsidRDefault="00412220" w14:paraId="08B6A719" w14:textId="39E377D1">
            <w:pPr>
              <w:pStyle w:val="FootnoteTex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05E9">
              <w:rPr>
                <w:rFonts w:asciiTheme="minorHAnsi" w:hAnsiTheme="minorHAnsi" w:cstheme="minorHAnsi"/>
                <w:sz w:val="22"/>
                <w:szCs w:val="22"/>
              </w:rPr>
              <w:t xml:space="preserve">Low </w:t>
            </w:r>
            <w:r w:rsidRPr="005305E9" w:rsidR="00FA4583">
              <w:rPr>
                <w:rFonts w:asciiTheme="minorHAnsi" w:hAnsiTheme="minorHAnsi" w:cstheme="minorHAnsi"/>
                <w:sz w:val="22"/>
                <w:szCs w:val="22"/>
              </w:rPr>
              <w:t xml:space="preserve">static </w:t>
            </w:r>
            <w:r w:rsidRPr="005305E9">
              <w:rPr>
                <w:rFonts w:asciiTheme="minorHAnsi" w:hAnsiTheme="minorHAnsi" w:cstheme="minorHAnsi"/>
                <w:sz w:val="22"/>
                <w:szCs w:val="22"/>
              </w:rPr>
              <w:t>Risk LS-CMI/</w:t>
            </w:r>
            <w:r w:rsidRPr="005305E9" w:rsidR="00E712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305E9">
              <w:rPr>
                <w:rFonts w:asciiTheme="minorHAnsi" w:hAnsiTheme="minorHAnsi" w:cstheme="minorHAnsi"/>
                <w:sz w:val="22"/>
                <w:szCs w:val="22"/>
              </w:rPr>
              <w:t>ODARA Clients</w:t>
            </w:r>
            <w:r w:rsidRPr="005305E9" w:rsidR="002F19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Pr="005305E9" w:rsidR="00056884" w:rsidP="00331149" w:rsidRDefault="008755C8" w14:paraId="0F02AFE5" w14:textId="4B5403E3">
            <w:pPr>
              <w:pStyle w:val="FootnoteTex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05E9">
              <w:rPr>
                <w:rFonts w:asciiTheme="minorHAnsi" w:hAnsiTheme="minorHAnsi" w:cstheme="minorHAnsi"/>
                <w:sz w:val="22"/>
                <w:szCs w:val="22"/>
              </w:rPr>
              <w:t>Medium/HR IPV Clients</w:t>
            </w:r>
          </w:p>
          <w:p w:rsidRPr="005305E9" w:rsidR="00E7128B" w:rsidP="008D5759" w:rsidRDefault="00E7128B" w14:paraId="05CA028E" w14:textId="31D0A87A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5305E9" w:rsidR="00E7128B" w:rsidP="008D5759" w:rsidRDefault="00E7128B" w14:paraId="2CDC0E36" w14:textId="77777777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5305E9" w:rsidR="008D5759" w:rsidP="004402B9" w:rsidRDefault="008D5759" w14:paraId="0C76BD8A" w14:textId="77777777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left w:val="single" w:color="auto" w:sz="4" w:space="0"/>
              <w:bottom w:val="single" w:color="auto" w:sz="4" w:space="0"/>
            </w:tcBorders>
          </w:tcPr>
          <w:p w:rsidRPr="005305E9" w:rsidR="008D5759" w:rsidP="008D5759" w:rsidRDefault="008D5759" w14:paraId="425216C0" w14:textId="77777777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5305E9" w:rsidR="00231166" w:rsidP="008D5759" w:rsidRDefault="00231166" w14:paraId="623F9663" w14:textId="66786796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305E9">
              <w:rPr>
                <w:rFonts w:asciiTheme="minorHAnsi" w:hAnsiTheme="minorHAnsi" w:cstheme="minorHAnsi"/>
                <w:sz w:val="22"/>
                <w:szCs w:val="22"/>
              </w:rPr>
              <w:t>----</w:t>
            </w:r>
            <w:r w:rsidRPr="005305E9" w:rsidR="00412220">
              <w:rPr>
                <w:rFonts w:asciiTheme="minorHAnsi" w:hAnsiTheme="minorHAnsi" w:cstheme="minorHAnsi"/>
                <w:sz w:val="22"/>
                <w:szCs w:val="22"/>
              </w:rPr>
              <w:t xml:space="preserve"> County</w:t>
            </w:r>
            <w:r w:rsidRPr="005305E9">
              <w:rPr>
                <w:rFonts w:asciiTheme="minorHAnsi" w:hAnsiTheme="minorHAnsi" w:cstheme="minorHAnsi"/>
                <w:sz w:val="22"/>
                <w:szCs w:val="22"/>
              </w:rPr>
              <w:t>----</w:t>
            </w:r>
          </w:p>
          <w:p w:rsidRPr="005305E9" w:rsidR="00056884" w:rsidP="00331149" w:rsidRDefault="00056884" w14:paraId="4F1C5C5A" w14:textId="67A526A2">
            <w:pPr>
              <w:pStyle w:val="FootnoteTex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05E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5305E9" w:rsidR="00434DB4">
              <w:rPr>
                <w:rFonts w:asciiTheme="minorHAnsi" w:hAnsiTheme="minorHAnsi" w:cstheme="minorHAnsi"/>
                <w:sz w:val="22"/>
                <w:szCs w:val="22"/>
              </w:rPr>
              <w:t>nvestigating</w:t>
            </w:r>
            <w:r w:rsidRPr="005305E9">
              <w:rPr>
                <w:rFonts w:asciiTheme="minorHAnsi" w:hAnsiTheme="minorHAnsi" w:cstheme="minorHAnsi"/>
                <w:sz w:val="22"/>
                <w:szCs w:val="22"/>
              </w:rPr>
              <w:t xml:space="preserve"> Officers to assess and write </w:t>
            </w:r>
            <w:proofErr w:type="gramStart"/>
            <w:r w:rsidRPr="005305E9">
              <w:rPr>
                <w:rFonts w:asciiTheme="minorHAnsi" w:hAnsiTheme="minorHAnsi" w:cstheme="minorHAnsi"/>
                <w:sz w:val="22"/>
                <w:szCs w:val="22"/>
              </w:rPr>
              <w:t>reports</w:t>
            </w:r>
            <w:proofErr w:type="gramEnd"/>
          </w:p>
          <w:p w:rsidRPr="005305E9" w:rsidR="00231166" w:rsidP="00331149" w:rsidRDefault="00FA4583" w14:paraId="3C792BEE" w14:textId="772CAD2A">
            <w:pPr>
              <w:pStyle w:val="FootnoteTex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05E9">
              <w:rPr>
                <w:rFonts w:asciiTheme="minorHAnsi" w:hAnsiTheme="minorHAnsi" w:cstheme="minorHAnsi"/>
                <w:sz w:val="22"/>
                <w:szCs w:val="22"/>
              </w:rPr>
              <w:t xml:space="preserve">Probation </w:t>
            </w:r>
            <w:r w:rsidRPr="005305E9" w:rsidR="00056884">
              <w:rPr>
                <w:rFonts w:asciiTheme="minorHAnsi" w:hAnsiTheme="minorHAnsi" w:cstheme="minorHAnsi"/>
                <w:sz w:val="22"/>
                <w:szCs w:val="22"/>
              </w:rPr>
              <w:t>officer’s</w:t>
            </w:r>
            <w:r w:rsidRPr="005305E9" w:rsidR="00CB6377">
              <w:rPr>
                <w:rFonts w:asciiTheme="minorHAnsi" w:hAnsiTheme="minorHAnsi" w:cstheme="minorHAnsi"/>
                <w:sz w:val="22"/>
                <w:szCs w:val="22"/>
              </w:rPr>
              <w:t xml:space="preserve"> supervision of offender</w:t>
            </w:r>
            <w:r w:rsidRPr="005305E9" w:rsidR="00056884">
              <w:rPr>
                <w:rFonts w:asciiTheme="minorHAnsi" w:hAnsiTheme="minorHAnsi" w:cstheme="minorHAnsi"/>
                <w:sz w:val="22"/>
                <w:szCs w:val="22"/>
              </w:rPr>
              <w:t xml:space="preserve"> post-disposition</w:t>
            </w:r>
          </w:p>
          <w:p w:rsidRPr="005305E9" w:rsidR="008D5759" w:rsidP="008D5759" w:rsidRDefault="00FA4583" w14:paraId="3F645711" w14:textId="4A5B1589">
            <w:pPr>
              <w:pStyle w:val="FootnoteTex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05E9">
              <w:rPr>
                <w:rFonts w:asciiTheme="minorHAnsi" w:hAnsiTheme="minorHAnsi" w:cstheme="minorHAnsi"/>
                <w:sz w:val="22"/>
                <w:szCs w:val="22"/>
              </w:rPr>
              <w:t>Victim service</w:t>
            </w:r>
            <w:r w:rsidRPr="005305E9" w:rsidR="002F195B">
              <w:rPr>
                <w:rFonts w:asciiTheme="minorHAnsi" w:hAnsiTheme="minorHAnsi" w:cstheme="minorHAnsi"/>
                <w:sz w:val="22"/>
                <w:szCs w:val="22"/>
              </w:rPr>
              <w:t>s and engagement</w:t>
            </w:r>
            <w:r w:rsidRPr="005305E9" w:rsidR="00434DB4">
              <w:rPr>
                <w:rFonts w:asciiTheme="minorHAnsi" w:hAnsiTheme="minorHAnsi" w:cstheme="minorHAnsi"/>
                <w:sz w:val="22"/>
                <w:szCs w:val="22"/>
              </w:rPr>
              <w:t xml:space="preserve"> by supervising </w:t>
            </w:r>
            <w:proofErr w:type="gramStart"/>
            <w:r w:rsidRPr="005305E9" w:rsidR="00434DB4">
              <w:rPr>
                <w:rFonts w:asciiTheme="minorHAnsi" w:hAnsiTheme="minorHAnsi" w:cstheme="minorHAnsi"/>
                <w:sz w:val="22"/>
                <w:szCs w:val="22"/>
              </w:rPr>
              <w:t>DPOs</w:t>
            </w:r>
            <w:proofErr w:type="gramEnd"/>
          </w:p>
          <w:p w:rsidRPr="005305E9" w:rsidR="002F195B" w:rsidP="008D5759" w:rsidRDefault="002F195B" w14:paraId="314AC3AE" w14:textId="204A90E0">
            <w:pPr>
              <w:pStyle w:val="FootnoteTex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05E9">
              <w:rPr>
                <w:rFonts w:asciiTheme="minorHAnsi" w:hAnsiTheme="minorHAnsi" w:cstheme="minorHAnsi"/>
                <w:sz w:val="22"/>
                <w:szCs w:val="22"/>
              </w:rPr>
              <w:t>Funding for</w:t>
            </w:r>
            <w:r w:rsidRPr="005305E9" w:rsidR="00434DB4">
              <w:rPr>
                <w:rFonts w:asciiTheme="minorHAnsi" w:hAnsiTheme="minorHAnsi" w:cstheme="minorHAnsi"/>
                <w:sz w:val="22"/>
                <w:szCs w:val="22"/>
              </w:rPr>
              <w:t xml:space="preserve"> provider training on curriculum</w:t>
            </w:r>
          </w:p>
          <w:p w:rsidRPr="005305E9" w:rsidR="00056884" w:rsidP="00056884" w:rsidRDefault="00056884" w14:paraId="4C40978F" w14:textId="2414A380">
            <w:pPr>
              <w:pStyle w:val="FootnoteTex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05E9">
              <w:rPr>
                <w:rFonts w:asciiTheme="minorHAnsi" w:hAnsiTheme="minorHAnsi" w:cstheme="minorHAnsi"/>
                <w:sz w:val="22"/>
                <w:szCs w:val="22"/>
              </w:rPr>
              <w:t>Probation Staff certification and BIP oversight</w:t>
            </w:r>
          </w:p>
          <w:p w:rsidRPr="005305E9" w:rsidR="00231166" w:rsidP="008D5759" w:rsidRDefault="00231166" w14:paraId="076CFB66" w14:textId="77777777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5305E9" w:rsidR="00231166" w:rsidP="008D5759" w:rsidRDefault="00231166" w14:paraId="7AF531D2" w14:textId="477820E9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305E9"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  <w:r w:rsidRPr="005305E9" w:rsidR="00412220">
              <w:rPr>
                <w:rFonts w:asciiTheme="minorHAnsi" w:hAnsiTheme="minorHAnsi" w:cstheme="minorHAnsi"/>
                <w:sz w:val="22"/>
                <w:szCs w:val="22"/>
              </w:rPr>
              <w:t>Providers</w:t>
            </w:r>
            <w:r w:rsidRPr="005305E9">
              <w:rPr>
                <w:rFonts w:asciiTheme="minorHAnsi" w:hAnsiTheme="minorHAnsi" w:cstheme="minorHAnsi"/>
                <w:sz w:val="22"/>
                <w:szCs w:val="22"/>
              </w:rPr>
              <w:t>----</w:t>
            </w:r>
          </w:p>
          <w:p w:rsidRPr="005305E9" w:rsidR="00CB6377" w:rsidP="00CB6377" w:rsidRDefault="00CB6377" w14:paraId="59C15ACF" w14:textId="5CA0F437">
            <w:pPr>
              <w:pStyle w:val="FootnoteTex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05E9">
              <w:rPr>
                <w:rFonts w:asciiTheme="minorHAnsi" w:hAnsiTheme="minorHAnsi" w:cstheme="minorHAnsi"/>
                <w:sz w:val="22"/>
                <w:szCs w:val="22"/>
              </w:rPr>
              <w:t>Open Group with trained facilitators</w:t>
            </w:r>
          </w:p>
          <w:p w:rsidRPr="005305E9" w:rsidR="00CB6377" w:rsidP="00CB6377" w:rsidRDefault="00CB6377" w14:paraId="66935D4A" w14:textId="342ADD74">
            <w:pPr>
              <w:pStyle w:val="FootnoteTex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05E9">
              <w:rPr>
                <w:rFonts w:asciiTheme="minorHAnsi" w:hAnsiTheme="minorHAnsi" w:cstheme="minorHAnsi"/>
                <w:sz w:val="22"/>
                <w:szCs w:val="22"/>
              </w:rPr>
              <w:t xml:space="preserve">Standardized curriculum </w:t>
            </w:r>
            <w:proofErr w:type="gramStart"/>
            <w:r w:rsidRPr="005305E9">
              <w:rPr>
                <w:rFonts w:asciiTheme="minorHAnsi" w:hAnsiTheme="minorHAnsi" w:cstheme="minorHAnsi"/>
                <w:sz w:val="22"/>
                <w:szCs w:val="22"/>
              </w:rPr>
              <w:t>used</w:t>
            </w:r>
            <w:proofErr w:type="gramEnd"/>
            <w:r w:rsidRPr="005305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Pr="005305E9" w:rsidR="002F195B" w:rsidP="008D5759" w:rsidRDefault="002F195B" w14:paraId="20EB8554" w14:textId="77777777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5305E9" w:rsidR="00AE6863" w:rsidP="008D5759" w:rsidRDefault="00AE6863" w14:paraId="2B854737" w14:textId="77777777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5305E9" w:rsidR="008D5759" w:rsidP="008D5759" w:rsidRDefault="008D5759" w14:paraId="566CFAEA" w14:textId="77777777">
            <w:pPr>
              <w:pStyle w:val="FootnoteText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  <w:p w:rsidRPr="005305E9" w:rsidR="008D5759" w:rsidP="00AE6863" w:rsidRDefault="008D5759" w14:paraId="2DE2CC49" w14:textId="77777777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</w:tcPr>
          <w:p w:rsidRPr="005305E9" w:rsidR="008D5759" w:rsidP="008D5759" w:rsidRDefault="008D5759" w14:paraId="70C3C7D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5305E9" w:rsidR="00AE6863" w:rsidP="008D5759" w:rsidRDefault="00AE6863" w14:paraId="21D73DB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color="auto" w:sz="4" w:space="0"/>
              <w:bottom w:val="single" w:color="auto" w:sz="4" w:space="0"/>
              <w:right w:val="nil"/>
            </w:tcBorders>
          </w:tcPr>
          <w:p w:rsidRPr="005305E9" w:rsidR="008D5759" w:rsidP="008D5759" w:rsidRDefault="008D5759" w14:paraId="7112147A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5305E9" w:rsidR="006D08BD" w:rsidP="006D08BD" w:rsidRDefault="006D08BD" w14:paraId="1F563F5A" w14:textId="53D75AB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305E9">
              <w:rPr>
                <w:rFonts w:asciiTheme="minorHAnsi" w:hAnsiTheme="minorHAnsi" w:cstheme="minorHAnsi"/>
                <w:i/>
                <w:sz w:val="22"/>
                <w:szCs w:val="22"/>
              </w:rPr>
              <w:t># of probationers assessed using LS-CMI (by score) by INV officer</w:t>
            </w:r>
          </w:p>
          <w:p w:rsidRPr="005305E9" w:rsidR="006D08BD" w:rsidP="006D08BD" w:rsidRDefault="006D08BD" w14:paraId="08ED6EA6" w14:textId="7777777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305E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# of probationers assessed using </w:t>
            </w:r>
            <w:proofErr w:type="gramStart"/>
            <w:r w:rsidRPr="005305E9">
              <w:rPr>
                <w:rFonts w:asciiTheme="minorHAnsi" w:hAnsiTheme="minorHAnsi" w:cstheme="minorHAnsi"/>
                <w:i/>
                <w:sz w:val="22"/>
                <w:szCs w:val="22"/>
              </w:rPr>
              <w:t>ODARA(</w:t>
            </w:r>
            <w:proofErr w:type="gramEnd"/>
            <w:r w:rsidRPr="005305E9">
              <w:rPr>
                <w:rFonts w:asciiTheme="minorHAnsi" w:hAnsiTheme="minorHAnsi" w:cstheme="minorHAnsi"/>
                <w:i/>
                <w:sz w:val="22"/>
                <w:szCs w:val="22"/>
              </w:rPr>
              <w:t>by score)</w:t>
            </w:r>
          </w:p>
          <w:p w:rsidRPr="005305E9" w:rsidR="006D08BD" w:rsidP="006D08BD" w:rsidRDefault="006D08BD" w14:paraId="4AC9D35C" w14:textId="7777777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305E9">
              <w:rPr>
                <w:rFonts w:asciiTheme="minorHAnsi" w:hAnsiTheme="minorHAnsi" w:cstheme="minorHAnsi"/>
                <w:i/>
                <w:sz w:val="22"/>
                <w:szCs w:val="22"/>
              </w:rPr>
              <w:t># of pre-sentence/pre-plea reports</w:t>
            </w:r>
          </w:p>
          <w:p w:rsidRPr="005305E9" w:rsidR="008D5759" w:rsidP="00E7128B" w:rsidRDefault="006D08BD" w14:paraId="1F7403D3" w14:textId="5A146788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305E9">
              <w:rPr>
                <w:rFonts w:asciiTheme="minorHAnsi" w:hAnsiTheme="minorHAnsi" w:cstheme="minorHAnsi"/>
                <w:i/>
                <w:sz w:val="22"/>
                <w:szCs w:val="22"/>
              </w:rPr>
              <w:t># of probationers ordered to 26-week program</w:t>
            </w:r>
          </w:p>
          <w:p w:rsidRPr="005305E9" w:rsidR="006D08BD" w:rsidP="002F195B" w:rsidRDefault="002F195B" w14:paraId="2F448BA3" w14:textId="4F7F4C80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305E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5305E9" w:rsidR="006D08BD">
              <w:rPr>
                <w:rFonts w:asciiTheme="minorHAnsi" w:hAnsiTheme="minorHAnsi" w:cstheme="minorHAnsi"/>
                <w:sz w:val="22"/>
                <w:szCs w:val="22"/>
              </w:rPr>
              <w:t># of victims contacted for feedback via victim survey</w:t>
            </w:r>
          </w:p>
          <w:p w:rsidRPr="005305E9" w:rsidR="006D08BD" w:rsidP="002F195B" w:rsidRDefault="002F195B" w14:paraId="7612A836" w14:textId="2EA864A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305E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5305E9" w:rsidR="006D08BD">
              <w:rPr>
                <w:rFonts w:asciiTheme="minorHAnsi" w:hAnsiTheme="minorHAnsi" w:cstheme="minorHAnsi"/>
                <w:sz w:val="22"/>
                <w:szCs w:val="22"/>
              </w:rPr>
              <w:t># of program reviews completed with IPV stakeholders</w:t>
            </w:r>
          </w:p>
          <w:p w:rsidRPr="005305E9" w:rsidR="00D537A2" w:rsidP="002F195B" w:rsidRDefault="00D537A2" w14:paraId="644B23D3" w14:textId="45C800AC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305E9">
              <w:rPr>
                <w:rFonts w:asciiTheme="minorHAnsi" w:hAnsiTheme="minorHAnsi" w:cstheme="minorHAnsi"/>
                <w:sz w:val="22"/>
                <w:szCs w:val="22"/>
              </w:rPr>
              <w:t>-# of referrals to other programs as determined by criminogenic need</w:t>
            </w:r>
          </w:p>
          <w:p w:rsidRPr="005305E9" w:rsidR="00434DB4" w:rsidP="002F195B" w:rsidRDefault="00434DB4" w14:paraId="24CEAEF0" w14:textId="6526DF76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305E9">
              <w:rPr>
                <w:rFonts w:asciiTheme="minorHAnsi" w:hAnsiTheme="minorHAnsi" w:cstheme="minorHAnsi"/>
                <w:sz w:val="22"/>
                <w:szCs w:val="22"/>
              </w:rPr>
              <w:t xml:space="preserve">-# </w:t>
            </w:r>
            <w:r w:rsidRPr="005305E9" w:rsidR="00110DE4"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r w:rsidRPr="005305E9">
              <w:rPr>
                <w:rFonts w:asciiTheme="minorHAnsi" w:hAnsiTheme="minorHAnsi" w:cstheme="minorHAnsi"/>
                <w:sz w:val="22"/>
                <w:szCs w:val="22"/>
              </w:rPr>
              <w:t>probationers referred to BIP</w:t>
            </w:r>
          </w:p>
          <w:p w:rsidRPr="005305E9" w:rsidR="00110DE4" w:rsidP="002F195B" w:rsidRDefault="00110DE4" w14:paraId="0309139F" w14:textId="279A6A3E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305E9">
              <w:rPr>
                <w:rFonts w:asciiTheme="minorHAnsi" w:hAnsiTheme="minorHAnsi" w:cstheme="minorHAnsi"/>
                <w:sz w:val="22"/>
                <w:szCs w:val="22"/>
              </w:rPr>
              <w:t xml:space="preserve">-# of probationers who complete a post-program </w:t>
            </w:r>
            <w:r w:rsidRPr="005305E9" w:rsidR="00261F08">
              <w:rPr>
                <w:rFonts w:asciiTheme="minorHAnsi" w:hAnsiTheme="minorHAnsi" w:cstheme="minorHAnsi"/>
                <w:sz w:val="22"/>
                <w:szCs w:val="22"/>
              </w:rPr>
              <w:t>evaluation</w:t>
            </w:r>
          </w:p>
          <w:p w:rsidRPr="005305E9" w:rsidR="002F195B" w:rsidP="002F195B" w:rsidRDefault="002F195B" w14:paraId="5DA883FB" w14:textId="1B08C175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color="auto" w:sz="4" w:space="0"/>
              <w:bottom w:val="single" w:color="auto" w:sz="4" w:space="0"/>
            </w:tcBorders>
          </w:tcPr>
          <w:p w:rsidRPr="005305E9" w:rsidR="008D5759" w:rsidP="008D5759" w:rsidRDefault="008D5759" w14:paraId="24DC112C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5305E9" w:rsidR="004A6950" w:rsidP="008D5759" w:rsidRDefault="004A6950" w14:paraId="57A8A6D0" w14:textId="06B63AA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305E9">
              <w:rPr>
                <w:rFonts w:asciiTheme="minorHAnsi" w:hAnsiTheme="minorHAnsi" w:cstheme="minorHAnsi"/>
                <w:i/>
                <w:sz w:val="22"/>
                <w:szCs w:val="22"/>
              </w:rPr>
              <w:t># of probationers attending orientation within 14 days of referral</w:t>
            </w:r>
          </w:p>
          <w:p w:rsidRPr="005305E9" w:rsidR="002F195B" w:rsidP="008D5759" w:rsidRDefault="002F195B" w14:paraId="34FE613D" w14:textId="2E22675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305E9">
              <w:rPr>
                <w:rFonts w:asciiTheme="minorHAnsi" w:hAnsiTheme="minorHAnsi" w:cstheme="minorHAnsi"/>
                <w:i/>
                <w:sz w:val="22"/>
                <w:szCs w:val="22"/>
              </w:rPr>
              <w:t># of Probationer</w:t>
            </w:r>
            <w:r w:rsidR="0099008F">
              <w:rPr>
                <w:rFonts w:asciiTheme="minorHAnsi" w:hAnsiTheme="minorHAnsi" w:cstheme="minorHAnsi"/>
                <w:i/>
                <w:sz w:val="22"/>
                <w:szCs w:val="22"/>
              </w:rPr>
              <w:t>s</w:t>
            </w:r>
            <w:r w:rsidRPr="005305E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attending Intake Assessment [including pre-test &amp; Readiness to Change] with Provider</w:t>
            </w:r>
          </w:p>
          <w:p w:rsidRPr="005305E9" w:rsidR="002F195B" w:rsidP="008D5759" w:rsidRDefault="002F195B" w14:paraId="4BC3AF9C" w14:textId="020BBF8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305E9">
              <w:rPr>
                <w:rFonts w:asciiTheme="minorHAnsi" w:hAnsiTheme="minorHAnsi" w:cstheme="minorHAnsi"/>
                <w:i/>
                <w:sz w:val="22"/>
                <w:szCs w:val="22"/>
              </w:rPr>
              <w:t># of Probationers successfully completing IPV program in allocated timeframe</w:t>
            </w:r>
          </w:p>
          <w:p w:rsidRPr="005305E9" w:rsidR="002F195B" w:rsidP="008D5759" w:rsidRDefault="006D08BD" w14:paraId="68097AE8" w14:textId="7777777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305E9">
              <w:rPr>
                <w:rFonts w:asciiTheme="minorHAnsi" w:hAnsiTheme="minorHAnsi" w:cstheme="minorHAnsi"/>
                <w:i/>
                <w:sz w:val="22"/>
                <w:szCs w:val="22"/>
              </w:rPr>
              <w:t># of victims reporting improvement in sense of peacefulness</w:t>
            </w:r>
          </w:p>
          <w:p w:rsidRPr="005305E9" w:rsidR="006D08BD" w:rsidP="008D5759" w:rsidRDefault="006D08BD" w14:paraId="0AE72BAB" w14:textId="7777777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305E9">
              <w:rPr>
                <w:rFonts w:asciiTheme="minorHAnsi" w:hAnsiTheme="minorHAnsi" w:cstheme="minorHAnsi"/>
                <w:i/>
                <w:sz w:val="22"/>
                <w:szCs w:val="22"/>
              </w:rPr>
              <w:t># of program reviews completed with a passing grade for credential</w:t>
            </w:r>
          </w:p>
          <w:p w:rsidRPr="005305E9" w:rsidR="00261F08" w:rsidP="008D5759" w:rsidRDefault="00D537A2" w14:paraId="5AE55A3B" w14:textId="6EA3CFA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305E9">
              <w:rPr>
                <w:rFonts w:asciiTheme="minorHAnsi" w:hAnsiTheme="minorHAnsi" w:cstheme="minorHAnsi"/>
                <w:i/>
                <w:sz w:val="22"/>
                <w:szCs w:val="22"/>
              </w:rPr>
              <w:t># of ancillary program completions for criminogenic needs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Pr="005305E9" w:rsidR="008D5759" w:rsidP="008D5759" w:rsidRDefault="008D5759" w14:paraId="2BC3811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color="auto" w:sz="4" w:space="0"/>
              <w:bottom w:val="single" w:color="auto" w:sz="4" w:space="0"/>
            </w:tcBorders>
          </w:tcPr>
          <w:p w:rsidRPr="005305E9" w:rsidR="008D5759" w:rsidP="008D5759" w:rsidRDefault="008D5759" w14:paraId="063C52A2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5305E9" w:rsidR="00906370" w:rsidP="008D5759" w:rsidRDefault="00906370" w14:paraId="533ACD51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05E9">
              <w:rPr>
                <w:rFonts w:asciiTheme="minorHAnsi" w:hAnsiTheme="minorHAnsi" w:cstheme="minorHAnsi"/>
                <w:sz w:val="22"/>
                <w:szCs w:val="22"/>
              </w:rPr>
              <w:t xml:space="preserve">-- SAFETY – </w:t>
            </w:r>
          </w:p>
          <w:p w:rsidRPr="005305E9" w:rsidR="00412220" w:rsidP="00412220" w:rsidRDefault="00412220" w14:paraId="5AFCCAF0" w14:textId="6611DD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05E9">
              <w:rPr>
                <w:rFonts w:asciiTheme="minorHAnsi" w:hAnsiTheme="minorHAnsi" w:cstheme="minorHAnsi"/>
                <w:sz w:val="22"/>
                <w:szCs w:val="22"/>
              </w:rPr>
              <w:t>•New conviction, any charge AND new IPV charge, at end of BIP program</w:t>
            </w:r>
            <w:r w:rsidRPr="005305E9" w:rsidR="007151BE">
              <w:rPr>
                <w:rFonts w:asciiTheme="minorHAnsi" w:hAnsiTheme="minorHAnsi" w:cstheme="minorHAnsi"/>
                <w:sz w:val="22"/>
                <w:szCs w:val="22"/>
              </w:rPr>
              <w:t xml:space="preserve"> regardless of program outcome</w:t>
            </w:r>
            <w:r w:rsidRPr="005305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Pr="005305E9" w:rsidR="007151BE" w:rsidP="00412220" w:rsidRDefault="00412220" w14:paraId="4E4B98F9" w14:textId="012972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05E9">
              <w:rPr>
                <w:rFonts w:asciiTheme="minorHAnsi" w:hAnsiTheme="minorHAnsi" w:cstheme="minorHAnsi"/>
                <w:sz w:val="22"/>
                <w:szCs w:val="22"/>
              </w:rPr>
              <w:t xml:space="preserve">•New conviction, any charge AND new IPV </w:t>
            </w:r>
            <w:r w:rsidRPr="005305E9" w:rsidR="0099008F">
              <w:rPr>
                <w:rFonts w:asciiTheme="minorHAnsi" w:hAnsiTheme="minorHAnsi" w:cstheme="minorHAnsi"/>
                <w:sz w:val="22"/>
                <w:szCs w:val="22"/>
              </w:rPr>
              <w:t>charge, year</w:t>
            </w:r>
            <w:r w:rsidRPr="005305E9">
              <w:rPr>
                <w:rFonts w:asciiTheme="minorHAnsi" w:hAnsiTheme="minorHAnsi" w:cstheme="minorHAnsi"/>
                <w:sz w:val="22"/>
                <w:szCs w:val="22"/>
              </w:rPr>
              <w:t xml:space="preserve"> from end of BIP program</w:t>
            </w:r>
          </w:p>
          <w:p w:rsidRPr="005305E9" w:rsidR="00412220" w:rsidP="00412220" w:rsidRDefault="00412220" w14:paraId="1352B2CE" w14:textId="5FE4E0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05E9">
              <w:rPr>
                <w:rFonts w:asciiTheme="minorHAnsi" w:hAnsiTheme="minorHAnsi" w:cstheme="minorHAnsi"/>
                <w:sz w:val="22"/>
                <w:szCs w:val="22"/>
              </w:rPr>
              <w:t>•R</w:t>
            </w:r>
            <w:r w:rsidRPr="005305E9" w:rsidR="007151BE">
              <w:rPr>
                <w:rFonts w:asciiTheme="minorHAnsi" w:hAnsiTheme="minorHAnsi" w:cstheme="minorHAnsi"/>
                <w:sz w:val="22"/>
                <w:szCs w:val="22"/>
              </w:rPr>
              <w:t>estraining Order</w:t>
            </w:r>
            <w:r w:rsidRPr="005305E9">
              <w:rPr>
                <w:rFonts w:asciiTheme="minorHAnsi" w:hAnsiTheme="minorHAnsi" w:cstheme="minorHAnsi"/>
                <w:sz w:val="22"/>
                <w:szCs w:val="22"/>
              </w:rPr>
              <w:t xml:space="preserve"> violations</w:t>
            </w:r>
            <w:r w:rsidRPr="005305E9" w:rsidR="007151BE">
              <w:rPr>
                <w:rFonts w:asciiTheme="minorHAnsi" w:hAnsiTheme="minorHAnsi" w:cstheme="minorHAnsi"/>
                <w:sz w:val="22"/>
                <w:szCs w:val="22"/>
              </w:rPr>
              <w:t xml:space="preserve"> per a new Probation violation filed during program</w:t>
            </w:r>
          </w:p>
          <w:p w:rsidRPr="005305E9" w:rsidR="00D537A2" w:rsidP="00D537A2" w:rsidRDefault="00D537A2" w14:paraId="254181E4" w14:textId="436C82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05E9">
              <w:rPr>
                <w:rFonts w:asciiTheme="minorHAnsi" w:hAnsiTheme="minorHAnsi" w:cstheme="minorHAnsi"/>
                <w:sz w:val="22"/>
                <w:szCs w:val="22"/>
              </w:rPr>
              <w:t>•Restraining Order violations per a new Probation violation filed within 1 year of program completion</w:t>
            </w:r>
          </w:p>
          <w:p w:rsidRPr="005305E9" w:rsidR="00906370" w:rsidP="008D5759" w:rsidRDefault="00906370" w14:paraId="398A4D90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5305E9" w:rsidR="00906370" w:rsidP="008D5759" w:rsidRDefault="00906370" w14:paraId="09CE710C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05E9">
              <w:rPr>
                <w:rFonts w:asciiTheme="minorHAnsi" w:hAnsiTheme="minorHAnsi" w:cstheme="minorHAnsi"/>
                <w:sz w:val="22"/>
                <w:szCs w:val="22"/>
              </w:rPr>
              <w:t>-- HEALTH AND WELLNESS --</w:t>
            </w:r>
          </w:p>
          <w:p w:rsidRPr="005305E9" w:rsidR="003C448D" w:rsidP="008D5759" w:rsidRDefault="007151BE" w14:paraId="738BE0CC" w14:textId="49673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05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="009900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Reduction</w:t>
            </w:r>
            <w:r w:rsidRPr="005305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 </w:t>
            </w:r>
            <w:r w:rsidRPr="005305E9" w:rsidR="00620D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criminogenic</w:t>
            </w:r>
            <w:r w:rsidRPr="005305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needs around drug or substance abuse</w:t>
            </w:r>
          </w:p>
          <w:p w:rsidRPr="005305E9" w:rsidR="007151BE" w:rsidP="008D5759" w:rsidRDefault="007151BE" w14:paraId="18D0F2CA" w14:textId="352384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05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Pr="005305E9" w:rsidR="00620D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Completion of referred substance abuse program</w:t>
            </w:r>
          </w:p>
          <w:p w:rsidRPr="005305E9" w:rsidR="008D5759" w:rsidP="008D5759" w:rsidRDefault="008D5759" w14:paraId="583BEA3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8D5759" w:rsidR="00AD053C" w:rsidP="00EF39E2" w:rsidRDefault="00AD053C" w14:paraId="32C9115E" w14:textId="77777777">
      <w:pPr>
        <w:pStyle w:val="FootnoteText"/>
        <w:rPr>
          <w:rFonts w:ascii="Arial" w:hAnsi="Arial" w:cs="Arial"/>
          <w:sz w:val="14"/>
          <w:szCs w:val="14"/>
        </w:rPr>
      </w:pPr>
    </w:p>
    <w:sectPr w:rsidRPr="008D5759" w:rsidR="00AD053C" w:rsidSect="007B1FF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71937"/>
    <w:multiLevelType w:val="hybridMultilevel"/>
    <w:tmpl w:val="FE2EE04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B8E3D4A"/>
    <w:multiLevelType w:val="hybridMultilevel"/>
    <w:tmpl w:val="0F0E0C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F3267B2"/>
    <w:multiLevelType w:val="hybridMultilevel"/>
    <w:tmpl w:val="5680F6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0AB5260"/>
    <w:multiLevelType w:val="hybridMultilevel"/>
    <w:tmpl w:val="F808EEB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3B6C616C"/>
    <w:multiLevelType w:val="hybridMultilevel"/>
    <w:tmpl w:val="721E63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E6E3AD9"/>
    <w:multiLevelType w:val="hybridMultilevel"/>
    <w:tmpl w:val="C6483A8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3FA14479"/>
    <w:multiLevelType w:val="hybridMultilevel"/>
    <w:tmpl w:val="0D42EF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5AA52B4"/>
    <w:multiLevelType w:val="hybridMultilevel"/>
    <w:tmpl w:val="8026ABF6"/>
    <w:lvl w:ilvl="0">
      <w:start w:val="1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hint="default" w:ascii="Symbol" w:hAnsi="Symbol"/>
        <w:sz w:val="20"/>
      </w:rPr>
    </w:lvl>
  </w:abstractNum>
  <w:abstractNum w:abstractNumId="8" w15:restartNumberingAfterBreak="0">
    <w:nsid w:val="53B45EC4"/>
    <w:multiLevelType w:val="hybridMultilevel"/>
    <w:tmpl w:val="9C2A70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43123EC"/>
    <w:multiLevelType w:val="hybridMultilevel"/>
    <w:tmpl w:val="9D2E7F5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67881141"/>
    <w:multiLevelType w:val="hybridMultilevel"/>
    <w:tmpl w:val="15CA378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68665DA9"/>
    <w:multiLevelType w:val="hybridMultilevel"/>
    <w:tmpl w:val="BC3CFE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30A2273"/>
    <w:multiLevelType w:val="hybridMultilevel"/>
    <w:tmpl w:val="7CF2D7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4EC5BCB"/>
    <w:multiLevelType w:val="hybridMultilevel"/>
    <w:tmpl w:val="88CED9E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"/>
  </w:num>
  <w:num w:numId="5">
    <w:abstractNumId w:val="8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53C"/>
    <w:rsid w:val="0000209F"/>
    <w:rsid w:val="00056884"/>
    <w:rsid w:val="000A1A6C"/>
    <w:rsid w:val="000B7809"/>
    <w:rsid w:val="000E65E4"/>
    <w:rsid w:val="000E6734"/>
    <w:rsid w:val="00110DE4"/>
    <w:rsid w:val="001213ED"/>
    <w:rsid w:val="001469FB"/>
    <w:rsid w:val="00231166"/>
    <w:rsid w:val="00261F08"/>
    <w:rsid w:val="0026376C"/>
    <w:rsid w:val="00281944"/>
    <w:rsid w:val="002F195B"/>
    <w:rsid w:val="002F6900"/>
    <w:rsid w:val="00331149"/>
    <w:rsid w:val="00336ECB"/>
    <w:rsid w:val="003C448D"/>
    <w:rsid w:val="00412220"/>
    <w:rsid w:val="00434DB4"/>
    <w:rsid w:val="004402B9"/>
    <w:rsid w:val="00463DB5"/>
    <w:rsid w:val="00483EE4"/>
    <w:rsid w:val="00494FE7"/>
    <w:rsid w:val="00497D3E"/>
    <w:rsid w:val="004A6950"/>
    <w:rsid w:val="00506593"/>
    <w:rsid w:val="00515835"/>
    <w:rsid w:val="005305E9"/>
    <w:rsid w:val="00535053"/>
    <w:rsid w:val="00567369"/>
    <w:rsid w:val="00583F8B"/>
    <w:rsid w:val="00620DF5"/>
    <w:rsid w:val="00691780"/>
    <w:rsid w:val="006A3731"/>
    <w:rsid w:val="006D08BD"/>
    <w:rsid w:val="00706165"/>
    <w:rsid w:val="007151BE"/>
    <w:rsid w:val="00743B8E"/>
    <w:rsid w:val="007B1FFF"/>
    <w:rsid w:val="007C11AE"/>
    <w:rsid w:val="00800685"/>
    <w:rsid w:val="00840F02"/>
    <w:rsid w:val="008755C8"/>
    <w:rsid w:val="008B0287"/>
    <w:rsid w:val="008D5759"/>
    <w:rsid w:val="00902F45"/>
    <w:rsid w:val="00906370"/>
    <w:rsid w:val="00965260"/>
    <w:rsid w:val="0099008F"/>
    <w:rsid w:val="009B2B35"/>
    <w:rsid w:val="009B6767"/>
    <w:rsid w:val="009E7E86"/>
    <w:rsid w:val="00A40816"/>
    <w:rsid w:val="00A80D55"/>
    <w:rsid w:val="00A836CE"/>
    <w:rsid w:val="00AD053C"/>
    <w:rsid w:val="00AE6863"/>
    <w:rsid w:val="00B261DD"/>
    <w:rsid w:val="00BB6B02"/>
    <w:rsid w:val="00BF7CC0"/>
    <w:rsid w:val="00C5537B"/>
    <w:rsid w:val="00C6327E"/>
    <w:rsid w:val="00C762DB"/>
    <w:rsid w:val="00CB6377"/>
    <w:rsid w:val="00CE519B"/>
    <w:rsid w:val="00D537A2"/>
    <w:rsid w:val="00D6772D"/>
    <w:rsid w:val="00DA0A3B"/>
    <w:rsid w:val="00DD4406"/>
    <w:rsid w:val="00DD7BC7"/>
    <w:rsid w:val="00E7128B"/>
    <w:rsid w:val="00E7345C"/>
    <w:rsid w:val="00E91CE3"/>
    <w:rsid w:val="00EC6E6C"/>
    <w:rsid w:val="00ED2895"/>
    <w:rsid w:val="00EF26A9"/>
    <w:rsid w:val="00EF39E2"/>
    <w:rsid w:val="00F35292"/>
    <w:rsid w:val="00F7262D"/>
    <w:rsid w:val="00F7307F"/>
    <w:rsid w:val="00FA2894"/>
    <w:rsid w:val="00FA2E80"/>
    <w:rsid w:val="00FA4583"/>
    <w:rsid w:val="4DE6F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646049"/>
  <w15:chartTrackingRefBased/>
  <w15:docId w15:val="{269D1DE9-DEB9-4399-84DC-B0E150AA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qFormat="1"/>
    <w:lsdException w:name="heading 4" w:uiPriority="9" w:semiHidden="1" w:unhideWhenUsed="1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D053C"/>
    <w:rPr>
      <w:rFonts w:ascii="Garamond" w:hAnsi="Garamond"/>
      <w:sz w:val="32"/>
    </w:rPr>
  </w:style>
  <w:style w:type="paragraph" w:styleId="Heading1">
    <w:name w:val="heading 1"/>
    <w:basedOn w:val="Normal"/>
    <w:next w:val="Normal"/>
    <w:qFormat/>
    <w:rsid w:val="00AD053C"/>
    <w:pPr>
      <w:keepNext/>
      <w:outlineLvl w:val="0"/>
    </w:pPr>
    <w:rPr>
      <w:rFonts w:ascii="Arial" w:hAnsi="Arial"/>
      <w:b/>
      <w:sz w:val="36"/>
    </w:rPr>
  </w:style>
  <w:style w:type="paragraph" w:styleId="Heading3">
    <w:name w:val="heading 3"/>
    <w:basedOn w:val="Normal"/>
    <w:next w:val="Normal"/>
    <w:qFormat/>
    <w:rsid w:val="00AD053C"/>
    <w:pPr>
      <w:keepNext/>
      <w:jc w:val="center"/>
      <w:outlineLvl w:val="2"/>
    </w:pPr>
    <w:rPr>
      <w:b/>
    </w:rPr>
  </w:style>
  <w:style w:type="paragraph" w:styleId="Heading5">
    <w:name w:val="heading 5"/>
    <w:basedOn w:val="Normal"/>
    <w:next w:val="Normal"/>
    <w:qFormat/>
    <w:rsid w:val="00AD053C"/>
    <w:pPr>
      <w:keepNext/>
      <w:outlineLvl w:val="4"/>
    </w:pPr>
    <w:rPr>
      <w:i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AD053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D053C"/>
    <w:rPr>
      <w:sz w:val="20"/>
    </w:rPr>
  </w:style>
  <w:style w:type="paragraph" w:styleId="BodyText2">
    <w:name w:val="Body Text 2"/>
    <w:basedOn w:val="Normal"/>
    <w:rsid w:val="00AD053C"/>
    <w:rPr>
      <w:sz w:val="20"/>
    </w:rPr>
  </w:style>
  <w:style w:type="table" w:styleId="TableGrid">
    <w:name w:val="Table Grid"/>
    <w:basedOn w:val="TableNormal"/>
    <w:uiPriority w:val="39"/>
    <w:rsid w:val="007B1FF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9FB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1469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19B"/>
    <w:pPr>
      <w:spacing w:after="160" w:line="259" w:lineRule="auto"/>
      <w:ind w:left="720"/>
      <w:contextualSpacing/>
    </w:pPr>
    <w:rPr>
      <w:rFonts w:ascii="Calibri" w:hAnsi="Calibri" w:eastAsia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02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F45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02F45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F4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02F45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UW-Extension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LOGIC MODEL Worksheet (Table format)</dc:title>
  <dc:subject/>
  <dc:creator/>
  <keywords/>
  <dc:description/>
  <lastModifiedBy>Ryan Souza</lastModifiedBy>
  <revision>5</revision>
  <lastPrinted>2009-06-25T17:10:00.0000000Z</lastPrinted>
  <dcterms:created xsi:type="dcterms:W3CDTF">2021-01-26T05:33:00.0000000Z</dcterms:created>
  <dcterms:modified xsi:type="dcterms:W3CDTF">2021-02-03T16:22:42.3272923Z</dcterms:modified>
</coreProperties>
</file>